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MLKJHC Meeting - September 11, 2023</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The meeting began with friendly small talk and congratulations, followed by a delayed roll call and prayer. The attendance policy was discussed, emphasizing the importance of attending meetings and the consequences of missing three consecutive ones. The agenda was not sent out in advance, so it will not be approved. The meeting moved on to important pending items, and the attendees were asked for their thoughts, concerns, and questions.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Donna proposed a program to honor the 60th anniversary of Dr. King's "I Have a Dream" speech, which includes a reading of the speech by different speakers, poetry reading, songs, and remarks by a Connecticut leader. Some members expressed concerns about the short timeline and suggested doing it next year instead, while others suggested acknowledging the anniversary with a statement or press release. Ultimately, they decided to revisit the proposal and look at what month may make sense to everyone to plan the event.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Donna Campbell discussed the need for a retreat for the Commission and proposed a date in October. She also outlined a series of events for the Commission to participate in, including a Black History Month program, Women's History Month celebration, youth conference, and library presentations. The Commission discussed plans for a retreat in October, with Donna Campbell outlining the proposed agenda and most members expressing support for the date and program.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They also discussed plans for the upcoming bell ringing ceremony in January and how to improve the program, with a focus on assigning roles more effectively. The Commission noted that some members may not be able to attend the retreat or ceremony due to illness or Covid concerns, and they will need to consider this when planning future events.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Donna Campbell discussed plans for upcoming events, including the annual bell ringing and award ceremony in January, Black History Month program in February, Women's History Month in March, and a youth conference in May. She also requested that commissioners research outstanding young people in their communities for the Youth Vanguard Award.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